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Default="00A80B20"/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78F5349C" w14:textId="63C595F1" w:rsidR="006B44CB" w:rsidRPr="002A5567" w:rsidRDefault="00B57041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="00A71B43" w:rsidRPr="009E455D">
        <w:rPr>
          <w:rFonts w:ascii="Times New Roman" w:hAnsi="Times New Roman" w:cs="Times New Roman"/>
          <w:sz w:val="32"/>
          <w:szCs w:val="32"/>
        </w:rPr>
        <w:t xml:space="preserve"> </w:t>
      </w:r>
      <w:r w:rsidR="00A80B20"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060A66B9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813892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081244A" w14:textId="0B832E9C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Глубина установки химического анкера не менее минимальной глубины установки, указанной в Приложении Б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559E82C" w14:textId="04D91F7A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Краевые и осевые расстояния не менее или равны минимальным расстояниям, указанным в Приложении Б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152CD028" w14:textId="47A0E596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Толщина железобетонного основания не менее минимального значения, указанного в Приложении Б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97956" w14:paraId="69AD7A1D" w14:textId="77777777" w:rsidTr="0055579B">
        <w:tc>
          <w:tcPr>
            <w:tcW w:w="4956" w:type="dxa"/>
            <w:vAlign w:val="center"/>
          </w:tcPr>
          <w:p w14:paraId="035E190F" w14:textId="7690677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4BF3F93D" w14:textId="40B6B4C7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6ABA3DDC" w14:textId="77777777" w:rsidTr="0055579B">
        <w:tc>
          <w:tcPr>
            <w:tcW w:w="4956" w:type="dxa"/>
            <w:vAlign w:val="center"/>
          </w:tcPr>
          <w:p w14:paraId="3F32AC63" w14:textId="261F67C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60C237D" w14:textId="7A0ED5C0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56E691EB" w14:textId="77777777" w:rsidTr="0055579B">
        <w:tc>
          <w:tcPr>
            <w:tcW w:w="4956" w:type="dxa"/>
            <w:vAlign w:val="center"/>
          </w:tcPr>
          <w:p w14:paraId="05E41DC2" w14:textId="112633B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8C4D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1B56401E" w14:textId="5E71482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43A85CD7" w14:textId="77777777" w:rsidTr="0055579B">
        <w:tc>
          <w:tcPr>
            <w:tcW w:w="4956" w:type="dxa"/>
            <w:vAlign w:val="center"/>
          </w:tcPr>
          <w:p w14:paraId="6678C819" w14:textId="46E76A45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2A15E38" w14:textId="65FC62F2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A4234A6" w14:textId="77777777" w:rsidTr="0055579B">
        <w:tc>
          <w:tcPr>
            <w:tcW w:w="4956" w:type="dxa"/>
            <w:vAlign w:val="center"/>
          </w:tcPr>
          <w:p w14:paraId="2CFE7D6C" w14:textId="68E03DB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3A1E5F7E" w14:textId="4EE2F57B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B2471B2" w14:textId="77777777" w:rsidTr="0055579B">
        <w:tc>
          <w:tcPr>
            <w:tcW w:w="4956" w:type="dxa"/>
            <w:vAlign w:val="center"/>
          </w:tcPr>
          <w:p w14:paraId="18EA8FE9" w14:textId="018D91F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799F9BAF" w14:textId="625021B9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E51680" w14:paraId="0F1A2654" w14:textId="77777777" w:rsidTr="0055579B">
        <w:tc>
          <w:tcPr>
            <w:tcW w:w="4956" w:type="dxa"/>
            <w:vAlign w:val="center"/>
          </w:tcPr>
          <w:p w14:paraId="6EDF63AC" w14:textId="613151B6" w:rsidR="00E51680" w:rsidRDefault="00C40AC3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0AFFB6F2" w14:textId="7A320802" w:rsidR="00E51680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EF8FE62" w14:textId="77777777" w:rsidTr="0055579B">
        <w:tc>
          <w:tcPr>
            <w:tcW w:w="4956" w:type="dxa"/>
            <w:vAlign w:val="center"/>
          </w:tcPr>
          <w:p w14:paraId="789FA69A" w14:textId="02853769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1FC761A0" w14:textId="3E138786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3F7653C6" w14:textId="77777777" w:rsidTr="0055579B">
        <w:tc>
          <w:tcPr>
            <w:tcW w:w="4956" w:type="dxa"/>
            <w:vAlign w:val="center"/>
          </w:tcPr>
          <w:p w14:paraId="35835770" w14:textId="67DD0F53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BE3EA7" w14:textId="396E405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0BBEFCD3" w14:textId="77777777" w:rsidTr="0055579B">
        <w:tc>
          <w:tcPr>
            <w:tcW w:w="4956" w:type="dxa"/>
            <w:vAlign w:val="center"/>
          </w:tcPr>
          <w:p w14:paraId="70327972" w14:textId="5893ECC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5B69FA95" w14:textId="5B3C7EC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12F21388" w14:textId="77777777" w:rsidTr="0055579B">
        <w:tc>
          <w:tcPr>
            <w:tcW w:w="4956" w:type="dxa"/>
            <w:vAlign w:val="center"/>
          </w:tcPr>
          <w:p w14:paraId="57C4D2ED" w14:textId="051B832F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DCBAAB" w14:textId="4A1068A4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2C52E93B" w14:textId="77777777" w:rsidTr="0055579B">
        <w:tc>
          <w:tcPr>
            <w:tcW w:w="4956" w:type="dxa"/>
            <w:vAlign w:val="center"/>
          </w:tcPr>
          <w:p w14:paraId="7F1D4C08" w14:textId="69BAF4C6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21FAC48C" w14:textId="62FFEADC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55579B" w14:paraId="29DAC42D" w14:textId="77777777" w:rsidTr="0055579B">
        <w:tc>
          <w:tcPr>
            <w:tcW w:w="4956" w:type="dxa"/>
            <w:vAlign w:val="center"/>
          </w:tcPr>
          <w:p w14:paraId="714B2C2E" w14:textId="34C74A8D" w:rsidR="0055579B" w:rsidRDefault="0055579B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6BEACD81" w14:textId="094928B9" w:rsidR="0055579B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582BD7A" w14:textId="77777777" w:rsidTr="0055579B">
        <w:tc>
          <w:tcPr>
            <w:tcW w:w="4956" w:type="dxa"/>
            <w:vAlign w:val="center"/>
          </w:tcPr>
          <w:p w14:paraId="38EDA9EF" w14:textId="5870F098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109D16DC" w14:textId="077EDAFE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76380EE6" w14:textId="77777777" w:rsidR="004F69DD" w:rsidRPr="004F69DD" w:rsidRDefault="004F69DD" w:rsidP="00EB0145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Проверка условия прочности при срезе.</w:t>
      </w:r>
    </w:p>
    <w:p w14:paraId="11F85988" w14:textId="2328ABB8" w:rsidR="00E95213" w:rsidRPr="00102DD9" w:rsidRDefault="00E95213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Прочность при срезе </w:t>
      </w:r>
      <w:r w:rsidR="00DE0533">
        <w:rPr>
          <w:rFonts w:ascii="Times New Roman" w:eastAsia="Calibri" w:hAnsi="Times New Roman" w:cs="Times New Roman"/>
          <w:sz w:val="24"/>
          <w:szCs w:val="24"/>
        </w:rPr>
        <w:t>шпильки</w:t>
      </w:r>
      <w:r w:rsidR="00102D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F8F72DF" w14:textId="1CA20334" w:rsidR="00E95213" w:rsidRPr="00E95213" w:rsidRDefault="00D7241B" w:rsidP="00E9521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an</m:t>
                </m:r>
              </m:sub>
            </m:sSub>
            <m:r>
              <w:rPr>
                <w:rFonts w:ascii="Cambria Math" w:eastAsia="Calibri" w:hAnsi="Cambria Math" w:cs="Times New Roman"/>
                <w:sz w:val="24"/>
                <w:szCs w:val="24"/>
              </w:rPr>
              <m:t>≤N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3A2C58" w14:textId="33FE2B2E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расчётные сопротивления одноболтовых соединений принимаемые согласно таблице Г.8</w:t>
      </w:r>
      <w:r w:rsidR="00C04005" w:rsidRPr="00C04005">
        <w:rPr>
          <w:rFonts w:ascii="Times New Roman" w:eastAsia="Calibri" w:hAnsi="Times New Roman" w:cs="Times New Roman"/>
          <w:sz w:val="24"/>
          <w:szCs w:val="24"/>
        </w:rPr>
        <w:t xml:space="preserve"> СТО42049948-002-2024</w:t>
      </w:r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47C43516" w14:textId="6E0B31DD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bn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площадь сечения стержня болта нетто, принимаемые согласно таблице Г.10</w:t>
      </w:r>
      <w:r w:rsidR="00C04005" w:rsidRPr="00C04005">
        <w:rPr>
          <w:rFonts w:ascii="Times New Roman" w:eastAsia="Calibri" w:hAnsi="Times New Roman" w:cs="Times New Roman"/>
          <w:sz w:val="24"/>
          <w:szCs w:val="24"/>
        </w:rPr>
        <w:t xml:space="preserve"> СТО42049948-002-2024</w:t>
      </w:r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Приложения Г;</w:t>
      </w:r>
    </w:p>
    <w:p w14:paraId="4D35766A" w14:textId="77777777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число плоскостей среза;</w:t>
      </w:r>
    </w:p>
    <w:p w14:paraId="170CB027" w14:textId="77777777" w:rsidR="00E95213" w:rsidRP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 болтового соединения, определяемый</w:t>
      </w:r>
    </w:p>
    <w:p w14:paraId="5CCE945E" w14:textId="77777777" w:rsidR="00E95213" w:rsidRPr="00E95213" w:rsidRDefault="00E95213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>по таблице 41 СП16.13330.2017 и принимаемый не более 1,0;</w:t>
      </w:r>
    </w:p>
    <w:p w14:paraId="7C1ECFEF" w14:textId="08667C1E" w:rsidR="00E95213" w:rsidRDefault="00D7241B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работы, определяемый по таблице 1 СП16.13330.2017.</w:t>
      </w:r>
    </w:p>
    <w:p w14:paraId="5EB4395A" w14:textId="77777777" w:rsidR="00CB5E6D" w:rsidRDefault="00CB5E6D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D965E" w14:textId="10997AFB" w:rsidR="00CD0477" w:rsidRDefault="00D7241B" w:rsidP="009E455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bs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=${Rbs}∙${Ab}∙${ns}∙1∙1∙0,001=${Nbs}</m:t>
          </m:r>
        </m:oMath>
      </m:oMathPara>
    </w:p>
    <w:p w14:paraId="5098AF93" w14:textId="77777777" w:rsidR="00CB5E6D" w:rsidRPr="00E95213" w:rsidRDefault="00CB5E6D" w:rsidP="009E455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18CCDC95" w14:textId="37DC4128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сцепления </w:t>
      </w:r>
      <w:r w:rsidR="001F24C5">
        <w:rPr>
          <w:rFonts w:ascii="Times New Roman" w:eastAsia="Calibri" w:hAnsi="Times New Roman" w:cs="Times New Roman"/>
          <w:sz w:val="24"/>
          <w:szCs w:val="24"/>
        </w:rPr>
        <w:t>${</w:t>
      </w:r>
      <w:r w:rsidR="001F24C5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r w:rsidR="001F24C5">
        <w:rPr>
          <w:rFonts w:ascii="Times New Roman" w:eastAsia="Calibri" w:hAnsi="Times New Roman" w:cs="Times New Roman"/>
          <w:sz w:val="24"/>
          <w:szCs w:val="24"/>
        </w:rPr>
        <w:t>}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20D40141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бетоном В25 без трещин при ударном бурении сухих отверстий (принимать по таблице Б.1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Б).</w:t>
      </w:r>
    </w:p>
    <w:p w14:paraId="0A62131B" w14:textId="58944618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 Г.1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F83A11D" w14:textId="5ECAF2E7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 Г.2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27C8B91E" w14:textId="5790E10C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 Г.3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4DFB64F6" w:rsidR="00E95213" w:rsidRPr="00E95213" w:rsidRDefault="00D7241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Г.4</w:t>
      </w:r>
      <w:r w:rsidR="00B161A9" w:rsidRPr="00B16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61A9" w:rsidRPr="00C0400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, для арматуры по таблице Г.5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00A03117" w14:textId="6D185237" w:rsidR="003D72AC" w:rsidRPr="00C04005" w:rsidRDefault="00D7241B" w:rsidP="00B125C9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 влияния от вида анкерного стержня, принимать по таблице Г.6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F8587E2" w14:textId="70CDC4D4" w:rsidR="00CD0477" w:rsidRPr="003D72AC" w:rsidRDefault="00D7241B" w:rsidP="00CD047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6A6D55E8" w14:textId="6163121D" w:rsidR="00CD0477" w:rsidRPr="00EE0482" w:rsidRDefault="00D7241B" w:rsidP="009D4A7F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∙3,14∙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0,001=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${Nult}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кН.</m:t>
          </m:r>
        </m:oMath>
      </m:oMathPara>
    </w:p>
    <w:p w14:paraId="30BAC212" w14:textId="07B3F6B9" w:rsidR="00EE0482" w:rsidRDefault="00EE0482" w:rsidP="009D4A7F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14:paraId="7EAE5DA8" w14:textId="161DA3CB" w:rsidR="00EE0482" w:rsidRDefault="0068561A" w:rsidP="00EE048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$</w:t>
      </w:r>
      <w:r w:rsidR="00EE0482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{comment}</w:t>
      </w:r>
    </w:p>
    <w:p w14:paraId="1E0CC3F1" w14:textId="77777777" w:rsidR="00EE0482" w:rsidRPr="00464DB2" w:rsidRDefault="00EE0482" w:rsidP="009D4A7F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EE0482" w:rsidRPr="00464DB2" w:rsidSect="00A80B20"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A753" w14:textId="77777777" w:rsidR="00D7241B" w:rsidRDefault="00D7241B" w:rsidP="00A80B20">
      <w:pPr>
        <w:spacing w:after="0" w:line="240" w:lineRule="auto"/>
      </w:pPr>
      <w:r>
        <w:separator/>
      </w:r>
    </w:p>
  </w:endnote>
  <w:endnote w:type="continuationSeparator" w:id="0">
    <w:p w14:paraId="665247A4" w14:textId="77777777" w:rsidR="00D7241B" w:rsidRDefault="00D7241B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7D3F" w14:textId="77777777" w:rsidR="00D7241B" w:rsidRDefault="00D7241B" w:rsidP="00A80B20">
      <w:pPr>
        <w:spacing w:after="0" w:line="240" w:lineRule="auto"/>
      </w:pPr>
      <w:r>
        <w:separator/>
      </w:r>
    </w:p>
  </w:footnote>
  <w:footnote w:type="continuationSeparator" w:id="0">
    <w:p w14:paraId="253EE6DC" w14:textId="77777777" w:rsidR="00D7241B" w:rsidRDefault="00D7241B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C559B"/>
    <w:rsid w:val="000E4E46"/>
    <w:rsid w:val="000F668A"/>
    <w:rsid w:val="00102DD9"/>
    <w:rsid w:val="00136503"/>
    <w:rsid w:val="00176459"/>
    <w:rsid w:val="001B00F9"/>
    <w:rsid w:val="001B028E"/>
    <w:rsid w:val="001C5417"/>
    <w:rsid w:val="001D798C"/>
    <w:rsid w:val="001F24C5"/>
    <w:rsid w:val="00215DB0"/>
    <w:rsid w:val="002176F4"/>
    <w:rsid w:val="00231F59"/>
    <w:rsid w:val="00235A32"/>
    <w:rsid w:val="00270D4B"/>
    <w:rsid w:val="002A40B5"/>
    <w:rsid w:val="002A5567"/>
    <w:rsid w:val="00333602"/>
    <w:rsid w:val="00351374"/>
    <w:rsid w:val="003D4D94"/>
    <w:rsid w:val="003D72AC"/>
    <w:rsid w:val="00453FDF"/>
    <w:rsid w:val="00464DB2"/>
    <w:rsid w:val="004719E3"/>
    <w:rsid w:val="004F0632"/>
    <w:rsid w:val="004F69DD"/>
    <w:rsid w:val="00515F9D"/>
    <w:rsid w:val="00527232"/>
    <w:rsid w:val="0055579B"/>
    <w:rsid w:val="00567CBD"/>
    <w:rsid w:val="00574D03"/>
    <w:rsid w:val="00577762"/>
    <w:rsid w:val="00583A51"/>
    <w:rsid w:val="005B23C5"/>
    <w:rsid w:val="006047B7"/>
    <w:rsid w:val="0067209D"/>
    <w:rsid w:val="00674B5D"/>
    <w:rsid w:val="0068561A"/>
    <w:rsid w:val="00697956"/>
    <w:rsid w:val="00697E79"/>
    <w:rsid w:val="006B3B2E"/>
    <w:rsid w:val="006B44CB"/>
    <w:rsid w:val="00702CEC"/>
    <w:rsid w:val="00746252"/>
    <w:rsid w:val="00782080"/>
    <w:rsid w:val="007A3265"/>
    <w:rsid w:val="007C3598"/>
    <w:rsid w:val="007C5526"/>
    <w:rsid w:val="007D7C36"/>
    <w:rsid w:val="007E21F9"/>
    <w:rsid w:val="008176C9"/>
    <w:rsid w:val="00821DEF"/>
    <w:rsid w:val="00860F3E"/>
    <w:rsid w:val="00885EE6"/>
    <w:rsid w:val="00893777"/>
    <w:rsid w:val="008B5800"/>
    <w:rsid w:val="008C4D8F"/>
    <w:rsid w:val="008F2631"/>
    <w:rsid w:val="00932232"/>
    <w:rsid w:val="00950CA3"/>
    <w:rsid w:val="009C4DB5"/>
    <w:rsid w:val="009D4A7F"/>
    <w:rsid w:val="009D7C56"/>
    <w:rsid w:val="009E455D"/>
    <w:rsid w:val="009F07E5"/>
    <w:rsid w:val="00A33F5B"/>
    <w:rsid w:val="00A71B43"/>
    <w:rsid w:val="00A80B20"/>
    <w:rsid w:val="00A91E29"/>
    <w:rsid w:val="00AA4476"/>
    <w:rsid w:val="00B125C9"/>
    <w:rsid w:val="00B161A9"/>
    <w:rsid w:val="00B57041"/>
    <w:rsid w:val="00B6602D"/>
    <w:rsid w:val="00B8528B"/>
    <w:rsid w:val="00B921B9"/>
    <w:rsid w:val="00BA7E27"/>
    <w:rsid w:val="00C04005"/>
    <w:rsid w:val="00C14FF5"/>
    <w:rsid w:val="00C35D54"/>
    <w:rsid w:val="00C40AC3"/>
    <w:rsid w:val="00C74D9E"/>
    <w:rsid w:val="00C86208"/>
    <w:rsid w:val="00CB3393"/>
    <w:rsid w:val="00CB5E6D"/>
    <w:rsid w:val="00CD0477"/>
    <w:rsid w:val="00D06F29"/>
    <w:rsid w:val="00D70A99"/>
    <w:rsid w:val="00D7241B"/>
    <w:rsid w:val="00DE0533"/>
    <w:rsid w:val="00E35E9F"/>
    <w:rsid w:val="00E51680"/>
    <w:rsid w:val="00E6574E"/>
    <w:rsid w:val="00E95213"/>
    <w:rsid w:val="00EB0145"/>
    <w:rsid w:val="00EE0482"/>
    <w:rsid w:val="00EF28BF"/>
    <w:rsid w:val="00F41E45"/>
    <w:rsid w:val="00F5544A"/>
    <w:rsid w:val="00F8621E"/>
    <w:rsid w:val="00F93C5A"/>
    <w:rsid w:val="00FA7226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A6FF-6A5E-47CB-9303-F8EDB74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2025-01-09T12:55:00Z</dcterms:created>
  <dcterms:modified xsi:type="dcterms:W3CDTF">2025-03-14T07:18:00Z</dcterms:modified>
</cp:coreProperties>
</file>