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1D5" w14:textId="0175E5C0" w:rsidR="00A80B20" w:rsidRPr="003A341F" w:rsidRDefault="00A80B20">
      <w:pPr>
        <w:rPr>
          <w:lang w:val="en-US"/>
        </w:rPr>
      </w:pPr>
    </w:p>
    <w:p w14:paraId="22FBB52B" w14:textId="2D61F1DD" w:rsidR="00A80B20" w:rsidRDefault="00A80B20"/>
    <w:p w14:paraId="218875F4" w14:textId="0B21D87D" w:rsidR="00A80B20" w:rsidRDefault="00A80B20"/>
    <w:p w14:paraId="2C7AF024" w14:textId="77777777" w:rsidR="00A80B20" w:rsidRDefault="00A80B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867"/>
      </w:tblGrid>
      <w:tr w:rsidR="00A80B20" w14:paraId="6FD9F2B8" w14:textId="77777777" w:rsidTr="00A80B20">
        <w:tc>
          <w:tcPr>
            <w:tcW w:w="4956" w:type="dxa"/>
            <w:vAlign w:val="center"/>
          </w:tcPr>
          <w:p w14:paraId="418950E2" w14:textId="4B50402B" w:rsidR="00A80B20" w:rsidRDefault="00A80B20" w:rsidP="00A80B20">
            <w:pPr>
              <w:jc w:val="center"/>
            </w:pPr>
            <w:r w:rsidRPr="00A80B20">
              <w:rPr>
                <w:noProof/>
              </w:rPr>
              <w:drawing>
                <wp:inline distT="0" distB="0" distL="0" distR="0" wp14:anchorId="60BA8E0B" wp14:editId="6FE82B0A">
                  <wp:extent cx="30731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604" cy="14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14:paraId="44BA483A" w14:textId="43DDB64C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 С</w:t>
            </w:r>
          </w:p>
          <w:p w14:paraId="007FE7D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ОГРАНИЧЕННОЙ</w:t>
            </w:r>
          </w:p>
          <w:p w14:paraId="000DC072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ОТВЕТСТВЕННОСТЬЮ</w:t>
            </w:r>
          </w:p>
          <w:p w14:paraId="5339591F" w14:textId="77777777" w:rsid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F0CC49" w14:textId="31C0933F" w:rsidR="00A80B20" w:rsidRPr="00A80B20" w:rsidRDefault="00A80B20" w:rsidP="00A80B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«ОКГРУПП»</w:t>
            </w:r>
          </w:p>
        </w:tc>
      </w:tr>
    </w:tbl>
    <w:p w14:paraId="7E1E9DA3" w14:textId="77777777" w:rsidR="00A80B20" w:rsidRDefault="00A80B20"/>
    <w:p w14:paraId="4845FF15" w14:textId="56C2457F" w:rsidR="00A80B20" w:rsidRDefault="00A80B20"/>
    <w:p w14:paraId="75F0F37F" w14:textId="37BA5196" w:rsidR="00A80B20" w:rsidRDefault="00A80B20"/>
    <w:p w14:paraId="01D8CA7A" w14:textId="74DC5BC5" w:rsidR="00A80B20" w:rsidRDefault="00A80B20"/>
    <w:p w14:paraId="44B99047" w14:textId="1DE0BA01" w:rsidR="00A80B20" w:rsidRDefault="00A80B20"/>
    <w:p w14:paraId="514C7368" w14:textId="7CF43BB6" w:rsidR="00A80B20" w:rsidRDefault="00A80B20"/>
    <w:p w14:paraId="40A3BAA4" w14:textId="77777777" w:rsidR="00A80B20" w:rsidRDefault="00A80B20"/>
    <w:p w14:paraId="3DE6F4AF" w14:textId="77777777" w:rsidR="00A80B20" w:rsidRDefault="00A80B20" w:rsidP="00A80B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Отчёт о расчёте химического анкера </w:t>
      </w:r>
    </w:p>
    <w:p w14:paraId="4EF326E5" w14:textId="77777777" w:rsidR="009A061F" w:rsidRPr="002A5567" w:rsidRDefault="009A061F" w:rsidP="009A061F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567">
        <w:rPr>
          <w:rFonts w:ascii="Times New Roman" w:hAnsi="Times New Roman" w:cs="Times New Roman"/>
          <w:sz w:val="32"/>
          <w:szCs w:val="32"/>
        </w:rPr>
        <w:t>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  <w:r w:rsidRPr="009E45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</w:t>
      </w:r>
      <w:r w:rsidRPr="002A5567">
        <w:rPr>
          <w:rFonts w:ascii="Times New Roman" w:hAnsi="Times New Roman" w:cs="Times New Roman"/>
          <w:sz w:val="32"/>
          <w:szCs w:val="32"/>
        </w:rPr>
        <w:t xml:space="preserve"> ${</w:t>
      </w:r>
      <w:r w:rsidRPr="00B57041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2A5567">
        <w:rPr>
          <w:rFonts w:ascii="Times New Roman" w:hAnsi="Times New Roman" w:cs="Times New Roman"/>
          <w:sz w:val="32"/>
          <w:szCs w:val="32"/>
        </w:rPr>
        <w:t>}</w:t>
      </w:r>
    </w:p>
    <w:p w14:paraId="40B80D1B" w14:textId="791A02D6" w:rsidR="00697956" w:rsidRDefault="006979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0EB9A35" w14:textId="77777777" w:rsidR="00B921B9" w:rsidRPr="00B921B9" w:rsidRDefault="00B921B9" w:rsidP="00B921B9">
      <w:pPr>
        <w:spacing w:after="0" w:line="360" w:lineRule="auto"/>
        <w:jc w:val="center"/>
        <w:rPr>
          <w:rStyle w:val="10"/>
          <w:rFonts w:eastAsiaTheme="minorHAnsi"/>
        </w:rPr>
      </w:pPr>
      <w:r w:rsidRPr="00B921B9">
        <w:rPr>
          <w:rStyle w:val="10"/>
          <w:rFonts w:eastAsiaTheme="minorHAnsi"/>
        </w:rPr>
        <w:lastRenderedPageBreak/>
        <w:t>Методика расчёта химического анкера в железобетонном основании</w:t>
      </w:r>
    </w:p>
    <w:p w14:paraId="07814A41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 xml:space="preserve">Данная методика позволяет оценить критерии прочности продукции, производимой и поставляемой ООО «ОКГРУПП», в бетонах классов прочности от В7,5 до В60. Критерии прочности бетона, в том числе с учётом армирования, препятствующего выкалыванию и раскалыванию железобетонного основания, а также образованию трещин в нём, могут быть оценены с помощью СП513.1325800.2022, СП63.13330.2018, BSEN1992-4:2018 и других методик, определенных специалистом, ответственным за проектирование конкретного узла крепления. </w:t>
      </w:r>
    </w:p>
    <w:p w14:paraId="060A66B9" w14:textId="77777777" w:rsidR="00EB0145" w:rsidRPr="00EB0145" w:rsidRDefault="00EB0145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145">
        <w:rPr>
          <w:rFonts w:ascii="Times New Roman" w:eastAsia="Calibri" w:hAnsi="Times New Roman" w:cs="Times New Roman"/>
          <w:sz w:val="24"/>
          <w:szCs w:val="24"/>
        </w:rPr>
        <w:t>ООО "ОКГРУПП" рекомендует соблюдать следующие условия при конструировании узла крепления:</w:t>
      </w:r>
    </w:p>
    <w:p w14:paraId="5813892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Железобетонное основание должно иметь армирование согласно п. 10.3 СП63.13330.2018 при условии обязательного армирования края;</w:t>
      </w:r>
    </w:p>
    <w:p w14:paraId="0081244A" w14:textId="07197E4A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Глубина установки химического анкера не менее минимальной глубины установки, указанной в Приложении Б настоящего стандарта</w:t>
      </w:r>
      <w:r w:rsidR="009F2360">
        <w:rPr>
          <w:rFonts w:eastAsia="Calibri"/>
          <w:sz w:val="24"/>
          <w:szCs w:val="24"/>
        </w:rPr>
        <w:t xml:space="preserve"> </w:t>
      </w:r>
      <w:r w:rsidR="009F2360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559E82C" w14:textId="1FC5E133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Краевые и осевые расстояния не менее или равны минимальным расстояниям, указанным в Приложении Б настоящего стандарта</w:t>
      </w:r>
      <w:r w:rsidR="009F2360">
        <w:rPr>
          <w:rFonts w:eastAsia="Calibri"/>
          <w:sz w:val="24"/>
          <w:szCs w:val="24"/>
        </w:rPr>
        <w:t xml:space="preserve"> </w:t>
      </w:r>
      <w:r w:rsidR="009F2360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152CD028" w14:textId="1F5F9B2C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Толщина железобетонного основания не менее минимального значения, указанного в Приложении Б настоящего стандарта</w:t>
      </w:r>
      <w:r w:rsidR="009F2360">
        <w:rPr>
          <w:rFonts w:eastAsia="Calibri"/>
          <w:sz w:val="24"/>
          <w:szCs w:val="24"/>
        </w:rPr>
        <w:t xml:space="preserve"> </w:t>
      </w:r>
      <w:r w:rsidR="009F2360">
        <w:rPr>
          <w:rFonts w:eastAsia="Calibri"/>
          <w:sz w:val="24"/>
          <w:szCs w:val="24"/>
        </w:rPr>
        <w:t>СТО42049948-002-2024</w:t>
      </w:r>
      <w:r w:rsidRPr="00EB0145">
        <w:rPr>
          <w:rFonts w:eastAsia="Calibri"/>
          <w:sz w:val="24"/>
          <w:szCs w:val="24"/>
        </w:rPr>
        <w:t>;</w:t>
      </w:r>
    </w:p>
    <w:p w14:paraId="733A4A65" w14:textId="77777777" w:rsidR="00EB0145" w:rsidRPr="00EB0145" w:rsidRDefault="00EB0145" w:rsidP="00E95213">
      <w:pPr>
        <w:pStyle w:val="a8"/>
        <w:numPr>
          <w:ilvl w:val="0"/>
          <w:numId w:val="4"/>
        </w:numPr>
        <w:tabs>
          <w:tab w:val="left" w:pos="993"/>
        </w:tabs>
        <w:spacing w:after="240" w:line="360" w:lineRule="auto"/>
        <w:ind w:left="0" w:firstLine="567"/>
        <w:rPr>
          <w:rFonts w:eastAsia="Calibri"/>
          <w:sz w:val="24"/>
          <w:szCs w:val="24"/>
        </w:rPr>
      </w:pPr>
      <w:r w:rsidRPr="00EB0145">
        <w:rPr>
          <w:rFonts w:eastAsia="Calibri"/>
          <w:sz w:val="24"/>
          <w:szCs w:val="24"/>
        </w:rPr>
        <w:t>Условия очистки и продувки отверстий согласно инструкции производителя.</w:t>
      </w:r>
    </w:p>
    <w:p w14:paraId="65E1399B" w14:textId="0734F235" w:rsidR="00697956" w:rsidRDefault="00697956" w:rsidP="00EB0145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A061F" w14:paraId="232278BB" w14:textId="77777777" w:rsidTr="00204B08">
        <w:tc>
          <w:tcPr>
            <w:tcW w:w="4956" w:type="dxa"/>
            <w:vAlign w:val="center"/>
          </w:tcPr>
          <w:p w14:paraId="35AAD027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956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Химического анкера</w:t>
            </w:r>
          </w:p>
        </w:tc>
        <w:tc>
          <w:tcPr>
            <w:tcW w:w="4956" w:type="dxa"/>
            <w:vAlign w:val="center"/>
          </w:tcPr>
          <w:p w14:paraId="75002F46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3846AE3B" w14:textId="77777777" w:rsidTr="00204B08">
        <w:tc>
          <w:tcPr>
            <w:tcW w:w="4956" w:type="dxa"/>
            <w:vAlign w:val="center"/>
          </w:tcPr>
          <w:p w14:paraId="7C7E71C6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бетона основания</w:t>
            </w:r>
          </w:p>
        </w:tc>
        <w:tc>
          <w:tcPr>
            <w:tcW w:w="4956" w:type="dxa"/>
            <w:vAlign w:val="center"/>
          </w:tcPr>
          <w:p w14:paraId="19DFC2F3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139DF734" w14:textId="77777777" w:rsidTr="00204B08">
        <w:tc>
          <w:tcPr>
            <w:tcW w:w="4956" w:type="dxa"/>
            <w:vAlign w:val="center"/>
          </w:tcPr>
          <w:p w14:paraId="0A96F1FE" w14:textId="4F58316E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</w:t>
            </w:r>
            <w:r w:rsidR="00FA0B7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режим</w:t>
            </w:r>
          </w:p>
        </w:tc>
        <w:tc>
          <w:tcPr>
            <w:tcW w:w="4956" w:type="dxa"/>
            <w:vAlign w:val="center"/>
          </w:tcPr>
          <w:p w14:paraId="5BCE479B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659AD86E" w14:textId="77777777" w:rsidTr="00204B08">
        <w:tc>
          <w:tcPr>
            <w:tcW w:w="4956" w:type="dxa"/>
            <w:vAlign w:val="center"/>
          </w:tcPr>
          <w:p w14:paraId="2E213CF7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Вклеиваемый элемент</w:t>
            </w:r>
          </w:p>
        </w:tc>
        <w:tc>
          <w:tcPr>
            <w:tcW w:w="4956" w:type="dxa"/>
            <w:vAlign w:val="center"/>
          </w:tcPr>
          <w:p w14:paraId="4C2C969D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674FA489" w14:textId="77777777" w:rsidTr="00204B08">
        <w:tc>
          <w:tcPr>
            <w:tcW w:w="4956" w:type="dxa"/>
            <w:vAlign w:val="center"/>
          </w:tcPr>
          <w:p w14:paraId="006DD42C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Диаметр вклеиваемого элемента</w:t>
            </w:r>
          </w:p>
        </w:tc>
        <w:tc>
          <w:tcPr>
            <w:tcW w:w="4956" w:type="dxa"/>
            <w:vAlign w:val="center"/>
          </w:tcPr>
          <w:p w14:paraId="10715828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7DAA2CFC" w14:textId="77777777" w:rsidTr="00204B08">
        <w:tc>
          <w:tcPr>
            <w:tcW w:w="4956" w:type="dxa"/>
            <w:vAlign w:val="center"/>
          </w:tcPr>
          <w:p w14:paraId="75681556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Глубина установки</w:t>
            </w:r>
          </w:p>
        </w:tc>
        <w:tc>
          <w:tcPr>
            <w:tcW w:w="4956" w:type="dxa"/>
            <w:vAlign w:val="center"/>
          </w:tcPr>
          <w:p w14:paraId="35078C9D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3B82C0BB" w14:textId="77777777" w:rsidTr="00204B08">
        <w:tc>
          <w:tcPr>
            <w:tcW w:w="4956" w:type="dxa"/>
            <w:vAlign w:val="center"/>
          </w:tcPr>
          <w:p w14:paraId="048CCA78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Нагрузки на вырыв и срез</w:t>
            </w:r>
          </w:p>
        </w:tc>
        <w:tc>
          <w:tcPr>
            <w:tcW w:w="4956" w:type="dxa"/>
            <w:vAlign w:val="center"/>
          </w:tcPr>
          <w:p w14:paraId="28400814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035B881E" w14:textId="77777777" w:rsidTr="00204B08">
        <w:tc>
          <w:tcPr>
            <w:tcW w:w="4956" w:type="dxa"/>
            <w:vAlign w:val="center"/>
          </w:tcPr>
          <w:p w14:paraId="22289B21" w14:textId="77777777" w:rsidR="009A061F" w:rsidRPr="005B23C5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Нагрузка на вырыв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  <w:lang w:val="en-US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0AD408A0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281D131D" w14:textId="77777777" w:rsidTr="00204B08">
        <w:tc>
          <w:tcPr>
            <w:tcW w:w="4956" w:type="dxa"/>
            <w:vAlign w:val="center"/>
          </w:tcPr>
          <w:p w14:paraId="69819DE5" w14:textId="77777777" w:rsidR="009A061F" w:rsidRPr="005B23C5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Нагрузка на срез</w:t>
            </w:r>
            <w:r w:rsidRPr="005B2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an</m:t>
                  </m:r>
                </m:sub>
              </m:sSub>
            </m:oMath>
          </w:p>
        </w:tc>
        <w:tc>
          <w:tcPr>
            <w:tcW w:w="4956" w:type="dxa"/>
            <w:vAlign w:val="center"/>
          </w:tcPr>
          <w:p w14:paraId="2C934078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4FBCA8A2" w14:textId="77777777" w:rsidTr="00204B08">
        <w:tc>
          <w:tcPr>
            <w:tcW w:w="4956" w:type="dxa"/>
            <w:vAlign w:val="center"/>
          </w:tcPr>
          <w:p w14:paraId="7E72F900" w14:textId="77777777" w:rsidR="009A061F" w:rsidRPr="0069795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бурения</w:t>
            </w:r>
          </w:p>
        </w:tc>
        <w:tc>
          <w:tcPr>
            <w:tcW w:w="4956" w:type="dxa"/>
            <w:vAlign w:val="center"/>
          </w:tcPr>
          <w:p w14:paraId="1BC7816B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6DD4ABB3" w14:textId="77777777" w:rsidTr="00204B08">
        <w:tc>
          <w:tcPr>
            <w:tcW w:w="4956" w:type="dxa"/>
            <w:vAlign w:val="center"/>
          </w:tcPr>
          <w:p w14:paraId="139E22A0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бурения</w:t>
            </w:r>
          </w:p>
        </w:tc>
        <w:tc>
          <w:tcPr>
            <w:tcW w:w="4956" w:type="dxa"/>
            <w:vAlign w:val="center"/>
          </w:tcPr>
          <w:p w14:paraId="34A30A73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5D9F5151" w14:textId="77777777" w:rsidTr="00204B08">
        <w:tc>
          <w:tcPr>
            <w:tcW w:w="4956" w:type="dxa"/>
            <w:vAlign w:val="center"/>
          </w:tcPr>
          <w:p w14:paraId="12CBEEA3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нагрузки</w:t>
            </w:r>
          </w:p>
        </w:tc>
        <w:tc>
          <w:tcPr>
            <w:tcW w:w="4956" w:type="dxa"/>
            <w:vAlign w:val="center"/>
          </w:tcPr>
          <w:p w14:paraId="348E9964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${</w:t>
            </w:r>
            <w:proofErr w:type="spellStart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f_value</w:t>
            </w:r>
            <w:proofErr w:type="spellEnd"/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</w:rPr>
              <w:t>}</w:t>
            </w:r>
          </w:p>
        </w:tc>
      </w:tr>
      <w:tr w:rsidR="009A061F" w14:paraId="1C9CD57D" w14:textId="77777777" w:rsidTr="00204B08">
        <w:tc>
          <w:tcPr>
            <w:tcW w:w="4956" w:type="dxa"/>
            <w:vAlign w:val="center"/>
          </w:tcPr>
          <w:p w14:paraId="43FF6EE9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прочности</w:t>
            </w:r>
          </w:p>
        </w:tc>
        <w:tc>
          <w:tcPr>
            <w:tcW w:w="4956" w:type="dxa"/>
            <w:vAlign w:val="center"/>
          </w:tcPr>
          <w:p w14:paraId="394EBC5C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  <w:tr w:rsidR="009A061F" w14:paraId="69D77A28" w14:textId="77777777" w:rsidTr="00204B08">
        <w:tc>
          <w:tcPr>
            <w:tcW w:w="4956" w:type="dxa"/>
            <w:vAlign w:val="center"/>
          </w:tcPr>
          <w:p w14:paraId="47B6DB80" w14:textId="77777777" w:rsidR="009A061F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плоскостей среза</w:t>
            </w:r>
          </w:p>
        </w:tc>
        <w:tc>
          <w:tcPr>
            <w:tcW w:w="4956" w:type="dxa"/>
            <w:vAlign w:val="center"/>
          </w:tcPr>
          <w:p w14:paraId="4D0F9517" w14:textId="77777777" w:rsidR="009A061F" w:rsidRPr="000E4E46" w:rsidRDefault="009A061F" w:rsidP="00204B0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${f_value_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B570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}</w:t>
            </w:r>
          </w:p>
        </w:tc>
      </w:tr>
    </w:tbl>
    <w:p w14:paraId="17C0CB32" w14:textId="0E53C2C4" w:rsidR="004F69DD" w:rsidRDefault="004F69DD" w:rsidP="00EB0145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Определение площади поперечного сечения анкерного стержня из условия прочности</w:t>
      </w:r>
    </w:p>
    <w:p w14:paraId="06010142" w14:textId="4F5FC818" w:rsidR="00932232" w:rsidRPr="00932232" w:rsidRDefault="00932232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232">
        <w:rPr>
          <w:rFonts w:ascii="Times New Roman" w:eastAsia="Calibri" w:hAnsi="Times New Roman" w:cs="Times New Roman"/>
          <w:sz w:val="24"/>
          <w:szCs w:val="24"/>
        </w:rPr>
        <w:t xml:space="preserve">Площадь поперечного сечения </w:t>
      </w:r>
      <w:bookmarkStart w:id="0" w:name="_Hlk189469115"/>
      <w:r w:rsidR="003413D9" w:rsidRPr="003413D9">
        <w:rPr>
          <w:rFonts w:ascii="Times New Roman" w:eastAsia="Calibri" w:hAnsi="Times New Roman" w:cs="Times New Roman"/>
          <w:sz w:val="24"/>
          <w:szCs w:val="24"/>
        </w:rPr>
        <w:t>${</w:t>
      </w:r>
      <w:proofErr w:type="spellStart"/>
      <w:r w:rsidR="00F72DAF">
        <w:rPr>
          <w:rFonts w:ascii="Times New Roman" w:eastAsia="Calibri" w:hAnsi="Times New Roman" w:cs="Times New Roman"/>
          <w:sz w:val="24"/>
          <w:szCs w:val="24"/>
          <w:lang w:val="en-US"/>
        </w:rPr>
        <w:t>nname</w:t>
      </w:r>
      <w:proofErr w:type="spellEnd"/>
      <w:r w:rsidR="003413D9" w:rsidRPr="003413D9">
        <w:rPr>
          <w:rFonts w:ascii="Times New Roman" w:eastAsia="Calibri" w:hAnsi="Times New Roman" w:cs="Times New Roman"/>
          <w:sz w:val="24"/>
          <w:szCs w:val="24"/>
        </w:rPr>
        <w:t>}</w:t>
      </w:r>
      <w:bookmarkEnd w:id="0"/>
      <w:r w:rsidR="003413D9" w:rsidRPr="00341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232">
        <w:rPr>
          <w:rFonts w:ascii="Times New Roman" w:eastAsia="Calibri" w:hAnsi="Times New Roman" w:cs="Times New Roman"/>
          <w:sz w:val="24"/>
          <w:szCs w:val="24"/>
        </w:rPr>
        <w:t>из условия прочности определяется по СП 43.13330.2012 п. Г.9 по формуле:</w:t>
      </w:r>
    </w:p>
    <w:p w14:paraId="6F99E204" w14:textId="77777777" w:rsidR="00932232" w:rsidRPr="00932232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ba</m:t>
                  </m:r>
                </m:sub>
              </m:sSub>
            </m:den>
          </m:f>
        </m:oMath>
      </m:oMathPara>
    </w:p>
    <w:p w14:paraId="7D80B7A0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Где: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ba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Pr="00932232">
        <w:rPr>
          <w:rFonts w:ascii="Times New Roman" w:hAnsi="Times New Roman" w:cs="Times New Roman"/>
          <w:sz w:val="24"/>
          <w:szCs w:val="24"/>
        </w:rPr>
        <w:t xml:space="preserve"> расчетное</w:t>
      </w:r>
      <w:r w:rsidRPr="00932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сопротивление</w:t>
      </w:r>
      <w:r w:rsidRPr="009322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металла</w:t>
      </w:r>
      <w:r w:rsidRPr="009322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анкерного стержня</w:t>
      </w:r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232">
        <w:rPr>
          <w:rFonts w:ascii="Times New Roman" w:hAnsi="Times New Roman" w:cs="Times New Roman"/>
          <w:sz w:val="24"/>
          <w:szCs w:val="24"/>
        </w:rPr>
        <w:t>растяжению;</w:t>
      </w:r>
    </w:p>
    <w:p w14:paraId="4E115ED9" w14:textId="77777777" w:rsidR="00932232" w:rsidRPr="00932232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коэффициент, зависящий от вида нагрузки: </w:t>
      </w:r>
    </w:p>
    <w:p w14:paraId="0B709010" w14:textId="77777777" w:rsidR="00932232" w:rsidRPr="00932232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=1,35-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для динамических нагрузок;</w:t>
      </w:r>
    </w:p>
    <w:p w14:paraId="7853787F" w14:textId="77777777" w:rsidR="00932232" w:rsidRPr="00932232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=1,05</m:t>
        </m:r>
      </m:oMath>
      <w:r w:rsidR="00932232"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– для статических нагрузок:</w:t>
      </w:r>
    </w:p>
    <w:p w14:paraId="3542934D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r>
          <w:rPr>
            <w:rFonts w:ascii="Cambria Math" w:hAnsi="Cambria Math" w:cs="Times New Roman"/>
            <w:spacing w:val="-2"/>
            <w:sz w:val="24"/>
            <w:szCs w:val="24"/>
          </w:rPr>
          <m:t>P-</m:t>
        </m:r>
      </m:oMath>
      <w:r w:rsidRPr="00932232">
        <w:rPr>
          <w:rFonts w:ascii="Times New Roman" w:hAnsi="Times New Roman" w:cs="Times New Roman"/>
          <w:spacing w:val="-2"/>
          <w:sz w:val="24"/>
          <w:szCs w:val="24"/>
        </w:rPr>
        <w:t xml:space="preserve"> растягивающая нагрузка, действующая на анкер. </w:t>
      </w:r>
    </w:p>
    <w:p w14:paraId="431A08C6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>Для арматуры:</w:t>
      </w:r>
    </w:p>
    <w:p w14:paraId="58CF6513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>Расчетное значение сопротивления арматуры растяжению принимается по формуле 6.10 СП63.13330.2018:</w:t>
      </w:r>
    </w:p>
    <w:p w14:paraId="27657F3E" w14:textId="77777777" w:rsidR="00932232" w:rsidRPr="00932232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s,n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sub>
              </m:sSub>
            </m:den>
          </m:f>
        </m:oMath>
      </m:oMathPara>
    </w:p>
    <w:p w14:paraId="7BCF323B" w14:textId="1122902F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93223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22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93223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9322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 w:rsidRPr="00932232">
        <w:rPr>
          <w:rFonts w:ascii="Times New Roman" w:hAnsi="Times New Roman" w:cs="Times New Roman"/>
          <w:sz w:val="24"/>
          <w:szCs w:val="24"/>
        </w:rPr>
        <w:t xml:space="preserve"> - нормативное значение сопротивления арматуры растяжению </w:t>
      </w:r>
      <w:r w:rsidRPr="00932232">
        <w:rPr>
          <w:rFonts w:ascii="Times New Roman" w:hAnsi="Times New Roman" w:cs="Times New Roman"/>
          <w:position w:val="2"/>
          <w:sz w:val="24"/>
          <w:szCs w:val="24"/>
        </w:rPr>
        <w:t xml:space="preserve">принимаемый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по таблице Г.11</w:t>
      </w:r>
      <w:r w:rsidR="003A341F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Приложения Г;</w:t>
      </w:r>
    </w:p>
    <w:p w14:paraId="56C6F0ED" w14:textId="77777777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r w:rsidRPr="00932232">
        <w:rPr>
          <w:rFonts w:ascii="Times New Roman" w:hAnsi="Times New Roman" w:cs="Times New Roman"/>
          <w:sz w:val="24"/>
          <w:szCs w:val="24"/>
        </w:rPr>
        <w:t>коэффициент надежности по арматуре, принимаемый равным 1,15 для предельных состояний первой группы.</w:t>
      </w:r>
    </w:p>
    <w:p w14:paraId="291598BA" w14:textId="56859726" w:rsidR="00932232" w:rsidRPr="00932232" w:rsidRDefault="00932232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32">
        <w:rPr>
          <w:rFonts w:ascii="Times New Roman" w:hAnsi="Times New Roman" w:cs="Times New Roman"/>
          <w:sz w:val="24"/>
          <w:szCs w:val="24"/>
        </w:rPr>
        <w:t xml:space="preserve">Площадь поперечного сечения арматуры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bn</m:t>
            </m:r>
          </m:sub>
        </m:sSub>
      </m:oMath>
      <w:r w:rsidRPr="00932232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по таблице Г.12</w:t>
      </w:r>
      <w:r w:rsidR="003A341F">
        <w:rPr>
          <w:rFonts w:ascii="Times New Roman" w:hAnsi="Times New Roman" w:cs="Times New Roman"/>
          <w:spacing w:val="-4"/>
          <w:position w:val="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 xml:space="preserve">СТО42049948-002-2024 </w:t>
      </w:r>
      <w:r w:rsidRPr="00932232">
        <w:rPr>
          <w:rFonts w:ascii="Times New Roman" w:hAnsi="Times New Roman" w:cs="Times New Roman"/>
          <w:spacing w:val="-4"/>
          <w:position w:val="2"/>
          <w:sz w:val="24"/>
          <w:szCs w:val="24"/>
        </w:rPr>
        <w:t>Приложения Г.</w:t>
      </w:r>
    </w:p>
    <w:p w14:paraId="3C90EF3D" w14:textId="77777777" w:rsidR="00932232" w:rsidRPr="00932232" w:rsidRDefault="00932232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232">
        <w:rPr>
          <w:rFonts w:ascii="Times New Roman" w:eastAsia="Calibri" w:hAnsi="Times New Roman" w:cs="Times New Roman"/>
          <w:sz w:val="24"/>
          <w:szCs w:val="24"/>
        </w:rPr>
        <w:t>При расчёте необходимо соблюдать условие:</w:t>
      </w:r>
    </w:p>
    <w:p w14:paraId="69D9C3B0" w14:textId="21FD39EA" w:rsidR="002858F4" w:rsidRPr="003413D9" w:rsidRDefault="00576259" w:rsidP="003413D9">
      <w:pPr>
        <w:shd w:val="clear" w:color="auto" w:fill="FFFFFF"/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</m:oMath>
      </m:oMathPara>
    </w:p>
    <w:p w14:paraId="2D915D43" w14:textId="644B6CDA" w:rsidR="002858F4" w:rsidRPr="002858F4" w:rsidRDefault="00576259" w:rsidP="002858F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sa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${koef_1}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${f_value_7}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∙1000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${Rba}</m:t>
              </m:r>
            </m:den>
          </m:f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${Asa}</m:t>
          </m:r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</m:oMath>
      </m:oMathPara>
    </w:p>
    <w:p w14:paraId="50092EA9" w14:textId="06392B83" w:rsidR="002858F4" w:rsidRPr="009A061F" w:rsidRDefault="002858F4" w:rsidP="002858F4">
      <w:pPr>
        <w:shd w:val="clear" w:color="auto" w:fill="FFFFFF"/>
        <w:spacing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pacing w:val="-2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${Rba} 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${b_value_1}  ${Asa}</m:t>
          </m:r>
          <m:sSup>
            <m:sSup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мм</m:t>
              </m:r>
            </m:e>
            <m:sup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2</m:t>
              </m:r>
            </m:sup>
          </m:sSup>
        </m:oMath>
      </m:oMathPara>
    </w:p>
    <w:p w14:paraId="3F8AEF40" w14:textId="16895F4D" w:rsidR="002858F4" w:rsidRDefault="002858F4" w:rsidP="002858F4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${str_value_1}.</m:t>
        </m:r>
      </m:oMath>
    </w:p>
    <w:p w14:paraId="76380EE6" w14:textId="77777777" w:rsidR="004F69DD" w:rsidRPr="004F69DD" w:rsidRDefault="004F69DD" w:rsidP="00EB0145">
      <w:pPr>
        <w:numPr>
          <w:ilvl w:val="0"/>
          <w:numId w:val="6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9DD">
        <w:rPr>
          <w:rFonts w:ascii="Times New Roman" w:eastAsia="Calibri" w:hAnsi="Times New Roman" w:cs="Times New Roman"/>
          <w:b/>
          <w:sz w:val="24"/>
          <w:szCs w:val="24"/>
        </w:rPr>
        <w:t>Проверка условия прочности при срезе.</w:t>
      </w:r>
    </w:p>
    <w:p w14:paraId="451BF258" w14:textId="45681A62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213">
        <w:rPr>
          <w:rFonts w:ascii="Times New Roman" w:eastAsia="Calibri" w:hAnsi="Times New Roman" w:cs="Times New Roman"/>
          <w:sz w:val="24"/>
          <w:szCs w:val="24"/>
        </w:rPr>
        <w:t xml:space="preserve">Прочность при срезе </w:t>
      </w:r>
      <w:r w:rsidR="00F72DAF" w:rsidRPr="003413D9">
        <w:rPr>
          <w:rFonts w:ascii="Times New Roman" w:eastAsia="Calibri" w:hAnsi="Times New Roman" w:cs="Times New Roman"/>
          <w:sz w:val="24"/>
          <w:szCs w:val="24"/>
        </w:rPr>
        <w:t>${</w:t>
      </w:r>
      <w:proofErr w:type="spellStart"/>
      <w:r w:rsidR="00F72DAF">
        <w:rPr>
          <w:rFonts w:ascii="Times New Roman" w:eastAsia="Calibri" w:hAnsi="Times New Roman" w:cs="Times New Roman"/>
          <w:sz w:val="24"/>
          <w:szCs w:val="24"/>
          <w:lang w:val="en-US"/>
        </w:rPr>
        <w:t>nname</w:t>
      </w:r>
      <w:proofErr w:type="spellEnd"/>
      <w:r w:rsidR="00F72DAF" w:rsidRPr="003413D9">
        <w:rPr>
          <w:rFonts w:ascii="Times New Roman" w:eastAsia="Calibri" w:hAnsi="Times New Roman" w:cs="Times New Roman"/>
          <w:sz w:val="24"/>
          <w:szCs w:val="24"/>
        </w:rPr>
        <w:t>}</w:t>
      </w:r>
      <w:r w:rsidR="003413D9" w:rsidRPr="00341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213">
        <w:rPr>
          <w:rFonts w:ascii="Times New Roman" w:eastAsia="Calibri" w:hAnsi="Times New Roman" w:cs="Times New Roman"/>
          <w:sz w:val="24"/>
          <w:szCs w:val="24"/>
        </w:rPr>
        <w:t>должна соблюдаться по условию:</w:t>
      </w:r>
    </w:p>
    <w:p w14:paraId="5C2CF0CF" w14:textId="77777777" w:rsidR="00E95213" w:rsidRPr="00E95213" w:rsidRDefault="00576259" w:rsidP="00E952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an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n,s</m:t>
              </m:r>
            </m:sub>
          </m:sSub>
        </m:oMath>
      </m:oMathPara>
    </w:p>
    <w:p w14:paraId="431F230B" w14:textId="6AF7C3D5" w:rsidR="00E95213" w:rsidRDefault="00576259" w:rsidP="00E95213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</m:t>
            </m:r>
          </m:sub>
        </m:sSub>
      </m:oMath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– нормативное значение силы сопротивления анкера при действии поперечных сил, определяемый по таблице Г.7</w:t>
      </w:r>
      <w:r w:rsidR="003A341F" w:rsidRPr="003A3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eastAsia="Calibri" w:hAnsi="Times New Roman" w:cs="Times New Roman"/>
          <w:sz w:val="24"/>
          <w:szCs w:val="24"/>
        </w:rPr>
        <w:t xml:space="preserve"> Приложения Г.</w:t>
      </w:r>
    </w:p>
    <w:p w14:paraId="35861666" w14:textId="50236D3D" w:rsidR="002858F4" w:rsidRPr="002858F4" w:rsidRDefault="00D926F1" w:rsidP="00285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${f_value_8}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кН </m:t>
          </m:r>
          <m:r>
            <w:rPr>
              <w:rFonts w:ascii="Cambria Math" w:hAnsi="Cambria Math" w:cs="Times New Roman"/>
              <w:sz w:val="24"/>
              <w:szCs w:val="24"/>
            </w:rPr>
            <m:t>${value2} ${Vns}</m:t>
          </m:r>
          <m:r>
            <w:rPr>
              <w:rFonts w:ascii="Cambria Math" w:eastAsia="Calibri" w:hAnsi="Cambria Math" w:cs="Times New Roman"/>
              <w:sz w:val="24"/>
              <w:szCs w:val="24"/>
            </w:rPr>
            <m:t>кН</m:t>
          </m:r>
        </m:oMath>
      </m:oMathPara>
    </w:p>
    <w:p w14:paraId="37EA2FDF" w14:textId="49207E80" w:rsidR="002858F4" w:rsidRPr="00E95213" w:rsidRDefault="002858F4" w:rsidP="002858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${str_value_2}</m:t>
        </m:r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52384B" w14:textId="77777777" w:rsidR="004F69DD" w:rsidRPr="004F69DD" w:rsidRDefault="004F69DD" w:rsidP="00E95213">
      <w:pPr>
        <w:numPr>
          <w:ilvl w:val="0"/>
          <w:numId w:val="6"/>
        </w:numPr>
        <w:shd w:val="clear" w:color="auto" w:fill="FFFFFF"/>
        <w:spacing w:before="240" w:after="0" w:line="360" w:lineRule="auto"/>
        <w:ind w:left="0" w:firstLine="0"/>
        <w:contextualSpacing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4F69DD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Разрушение по адгезии химического анкера.</w:t>
      </w:r>
    </w:p>
    <w:p w14:paraId="22111AF5" w14:textId="77777777" w:rsidR="00E95213" w:rsidRPr="00E95213" w:rsidRDefault="00E95213" w:rsidP="00E95213">
      <w:pPr>
        <w:pStyle w:val="a8"/>
        <w:spacing w:line="360" w:lineRule="auto"/>
        <w:ind w:left="0" w:firstLine="567"/>
        <w:rPr>
          <w:rFonts w:eastAsia="Calibri"/>
          <w:sz w:val="24"/>
          <w:szCs w:val="24"/>
        </w:rPr>
      </w:pPr>
      <w:r w:rsidRPr="00E95213">
        <w:rPr>
          <w:rFonts w:eastAsia="Calibri"/>
          <w:sz w:val="24"/>
          <w:szCs w:val="24"/>
        </w:rPr>
        <w:t>Прочность при разрушении по адгезии должна соблюдаться по условию:</w:t>
      </w:r>
    </w:p>
    <w:p w14:paraId="0543E5A0" w14:textId="77777777" w:rsidR="00E95213" w:rsidRPr="00E95213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an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</m:oMath>
      </m:oMathPara>
    </w:p>
    <w:p w14:paraId="18CCDC95" w14:textId="77777777" w:rsidR="00E95213" w:rsidRPr="00E95213" w:rsidRDefault="00E95213" w:rsidP="00E952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Для выполнения условия сопротивления </w:t>
      </w:r>
      <w:r w:rsidRPr="00E95213">
        <w:rPr>
          <w:rFonts w:ascii="Times New Roman" w:eastAsia="Calibri" w:hAnsi="Times New Roman" w:cs="Times New Roman"/>
          <w:sz w:val="24"/>
          <w:szCs w:val="24"/>
        </w:rPr>
        <w:t>сцепления анкерного стержня с бетоном на химическом анкере необходимо вычислить несущую способность химического анкера по адгезии по формуле:</w:t>
      </w:r>
    </w:p>
    <w:p w14:paraId="0636EF1D" w14:textId="77777777" w:rsidR="00E95213" w:rsidRPr="00E95213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∙π∙d∙</m:t>
          </m:r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ef</m:t>
              </m:r>
            </m:sub>
          </m:sSub>
        </m:oMath>
      </m:oMathPara>
    </w:p>
    <w:p w14:paraId="047FDABE" w14:textId="77777777" w:rsidR="00E95213" w:rsidRPr="00E95213" w:rsidRDefault="00E95213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9521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Pr="00E95213">
        <w:rPr>
          <w:rFonts w:ascii="Times New Roman" w:hAnsi="Times New Roman" w:cs="Times New Roman"/>
          <w:spacing w:val="-2"/>
          <w:sz w:val="24"/>
          <w:szCs w:val="24"/>
        </w:rPr>
        <w:t>нормативное сцепление клеевого анкера с железобетоном вычисляется по формуле:</w:t>
      </w:r>
    </w:p>
    <w:p w14:paraId="37F76F22" w14:textId="77777777" w:rsidR="00E95213" w:rsidRPr="00E95213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n, B25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МБ</m:t>
                  </m:r>
                </m:sub>
              </m:s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pacing w:val="-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pacing w:val="-2"/>
                      <w:sz w:val="24"/>
                      <w:szCs w:val="24"/>
                    </w:rPr>
                    <m:t>Д</m:t>
                  </m:r>
                </m:sub>
              </m:sSub>
            </m:den>
          </m:f>
        </m:oMath>
      </m:oMathPara>
    </w:p>
    <w:p w14:paraId="2A6F4977" w14:textId="30F72238" w:rsidR="00E95213" w:rsidRPr="00E95213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n, B25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 xml:space="preserve">-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нормативное сцепление клеевого анкера с бетоном В25 без трещин при ударном бурении сухих отверстий (принимать по таблице Б.1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Б).</w:t>
      </w:r>
    </w:p>
    <w:p w14:paraId="0A62131B" w14:textId="13E8860E" w:rsidR="00E95213" w:rsidRPr="00E95213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коэффициент, учитывающий фактическую прочность бетона основания, принимать по таблице Г.1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6F83A11D" w14:textId="4AD7EF28" w:rsidR="00E95213" w:rsidRPr="00E95213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Т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температурного режима, принимать по таблице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Г.2 Приложения Г;</w:t>
      </w:r>
    </w:p>
    <w:p w14:paraId="27C8B91E" w14:textId="76B69467" w:rsidR="00E95213" w:rsidRPr="00E95213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МБ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pacing w:val="-2"/>
            <w:sz w:val="24"/>
            <w:szCs w:val="24"/>
          </w:rPr>
          <m:t xml:space="preserve"> 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коэффициент, изменяющийся от метода бурения, принимать по таблице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Г.3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5A7276CF" w14:textId="799F593E" w:rsidR="00E95213" w:rsidRPr="00E95213" w:rsidRDefault="00576259" w:rsidP="00E9521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Д</m:t>
            </m:r>
          </m:sub>
        </m:sSub>
        <m:r>
          <w:rPr>
            <w:rFonts w:ascii="Cambria Math" w:hAnsi="Cambria Math" w:cs="Times New Roman"/>
            <w:spacing w:val="-2"/>
            <w:sz w:val="24"/>
            <w:szCs w:val="24"/>
          </w:rPr>
          <m:t>-</m:t>
        </m:r>
      </m:oMath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 коэффициент влияния диаметра анкерного стержня, для шпилек принимать по таблице Г.4</w:t>
      </w:r>
      <w:r w:rsidR="003A3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, для арматуры по таблице Г.5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Г;</w:t>
      </w:r>
    </w:p>
    <w:p w14:paraId="656618FF" w14:textId="712F94C9" w:rsidR="00E51680" w:rsidRDefault="00576259" w:rsidP="00E95213">
      <w:pPr>
        <w:spacing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с</m:t>
            </m:r>
          </m:sub>
        </m:sSub>
      </m:oMath>
      <w:r w:rsidR="00E95213" w:rsidRPr="00E9521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–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 xml:space="preserve">коэффициент влияния от вида анкерного стержня, принимать по таблице Г.6 </w:t>
      </w:r>
      <w:r w:rsidR="003A341F">
        <w:rPr>
          <w:rFonts w:ascii="Times New Roman" w:eastAsia="Calibri" w:hAnsi="Times New Roman" w:cs="Times New Roman"/>
          <w:sz w:val="24"/>
          <w:szCs w:val="24"/>
        </w:rPr>
        <w:t>СТО42049948-002-2024</w:t>
      </w:r>
      <w:r w:rsidR="003A341F" w:rsidRPr="00E9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213" w:rsidRPr="00E95213">
        <w:rPr>
          <w:rFonts w:ascii="Times New Roman" w:hAnsi="Times New Roman" w:cs="Times New Roman"/>
          <w:spacing w:val="-2"/>
          <w:sz w:val="24"/>
          <w:szCs w:val="24"/>
        </w:rPr>
        <w:t>Приложения Г.</w:t>
      </w:r>
    </w:p>
    <w:p w14:paraId="30208596" w14:textId="1C5E0794" w:rsidR="00C27B85" w:rsidRPr="00C27B85" w:rsidRDefault="00576259" w:rsidP="00C27B8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${tbn}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${ks}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${kt}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${kmb}</m:t>
              </m:r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${kds}</m:t>
              </m:r>
            </m:den>
          </m:f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МПа</m:t>
          </m:r>
        </m:oMath>
      </m:oMathPara>
    </w:p>
    <w:p w14:paraId="4EA18D27" w14:textId="6B326B0C" w:rsidR="00C27B85" w:rsidRPr="00C27B85" w:rsidRDefault="00576259" w:rsidP="00C27B8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pacing w:val="-2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2"/>
                  <w:sz w:val="24"/>
                  <w:szCs w:val="24"/>
                </w:rPr>
                <m:t>ult</m:t>
              </m:r>
            </m:sub>
          </m:sSub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${tn}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3.14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${d}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</w:rPr>
            <m:t>${hef}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${Nult}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кН</m:t>
          </m:r>
        </m:oMath>
      </m:oMathPara>
    </w:p>
    <w:p w14:paraId="6B89C736" w14:textId="16122113" w:rsidR="00C27B85" w:rsidRPr="00E95213" w:rsidRDefault="009A693A" w:rsidP="00C27B85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${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f_value_7</m:t>
          </m:r>
          <m:r>
            <w:rPr>
              <w:rFonts w:ascii="Cambria Math" w:hAnsi="Cambria Math" w:cs="Times New Roman"/>
              <w:sz w:val="24"/>
              <w:szCs w:val="24"/>
            </w:rPr>
            <m:t>} ${value3}  ${Nult}</m:t>
          </m:r>
          <m:r>
            <w:rPr>
              <w:rFonts w:ascii="Cambria Math" w:hAnsi="Cambria Math" w:cs="Times New Roman"/>
              <w:spacing w:val="-2"/>
              <w:sz w:val="24"/>
              <w:szCs w:val="24"/>
            </w:rPr>
            <m:t xml:space="preserve"> кН</m:t>
          </m:r>
        </m:oMath>
      </m:oMathPara>
    </w:p>
    <w:p w14:paraId="6B1F7035" w14:textId="725D4DBF" w:rsidR="00C27B85" w:rsidRPr="00E95213" w:rsidRDefault="00C27B85" w:rsidP="00C27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Условие </w:t>
      </w:r>
      <m:oMath>
        <m:r>
          <w:rPr>
            <w:rFonts w:ascii="Cambria Math" w:hAnsi="Cambria Math" w:cs="Times New Roman"/>
            <w:sz w:val="24"/>
            <w:szCs w:val="24"/>
          </w:rPr>
          <m:t>${str_value_3}</m:t>
        </m:r>
      </m:oMath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sectPr w:rsidR="00C27B85" w:rsidRPr="00E95213" w:rsidSect="00A80B20">
      <w:foot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AFF6" w14:textId="77777777" w:rsidR="00576259" w:rsidRDefault="00576259" w:rsidP="00A80B20">
      <w:pPr>
        <w:spacing w:after="0" w:line="240" w:lineRule="auto"/>
      </w:pPr>
      <w:r>
        <w:separator/>
      </w:r>
    </w:p>
  </w:endnote>
  <w:endnote w:type="continuationSeparator" w:id="0">
    <w:p w14:paraId="6DC2BBDB" w14:textId="77777777" w:rsidR="00576259" w:rsidRDefault="00576259" w:rsidP="00A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330" w14:textId="77777777" w:rsidR="00A80B20" w:rsidRDefault="00A80B20" w:rsidP="00A80B2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DC7A" w14:textId="77777777" w:rsid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г. Нижний Новгород </w:t>
    </w:r>
  </w:p>
  <w:p w14:paraId="7479DC25" w14:textId="472B9D7D" w:rsidR="00A80B20" w:rsidRPr="00A80B20" w:rsidRDefault="00A80B20" w:rsidP="00A80B20">
    <w:pPr>
      <w:pStyle w:val="a6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</w:t>
    </w:r>
    <w:r w:rsidR="00E95213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FE69" w14:textId="77777777" w:rsidR="00576259" w:rsidRDefault="00576259" w:rsidP="00A80B20">
      <w:pPr>
        <w:spacing w:after="0" w:line="240" w:lineRule="auto"/>
      </w:pPr>
      <w:r>
        <w:separator/>
      </w:r>
    </w:p>
  </w:footnote>
  <w:footnote w:type="continuationSeparator" w:id="0">
    <w:p w14:paraId="77A4C900" w14:textId="77777777" w:rsidR="00576259" w:rsidRDefault="00576259" w:rsidP="00A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5BD"/>
    <w:multiLevelType w:val="multilevel"/>
    <w:tmpl w:val="72DA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87B9D"/>
    <w:multiLevelType w:val="multilevel"/>
    <w:tmpl w:val="EBEE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6676CB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0A2D96"/>
    <w:multiLevelType w:val="hybridMultilevel"/>
    <w:tmpl w:val="AEDA6BC6"/>
    <w:lvl w:ilvl="0" w:tplc="F79CB686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EC1012"/>
    <w:multiLevelType w:val="multilevel"/>
    <w:tmpl w:val="9760C14A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6F0C10"/>
    <w:multiLevelType w:val="hybridMultilevel"/>
    <w:tmpl w:val="4F0C00CA"/>
    <w:lvl w:ilvl="0" w:tplc="A8E292B4">
      <w:start w:val="1"/>
      <w:numFmt w:val="decimal"/>
      <w:lvlText w:val="%1."/>
      <w:lvlJc w:val="left"/>
      <w:pPr>
        <w:ind w:left="1004" w:hanging="360"/>
      </w:pPr>
    </w:lvl>
    <w:lvl w:ilvl="1" w:tplc="77E2A502">
      <w:start w:val="1"/>
      <w:numFmt w:val="lowerLetter"/>
      <w:lvlText w:val="%2."/>
      <w:lvlJc w:val="left"/>
      <w:pPr>
        <w:ind w:left="1724" w:hanging="360"/>
      </w:pPr>
    </w:lvl>
    <w:lvl w:ilvl="2" w:tplc="D4683632">
      <w:start w:val="1"/>
      <w:numFmt w:val="lowerRoman"/>
      <w:lvlText w:val="%3."/>
      <w:lvlJc w:val="right"/>
      <w:pPr>
        <w:ind w:left="2444" w:hanging="180"/>
      </w:pPr>
    </w:lvl>
    <w:lvl w:ilvl="3" w:tplc="8698FBF0">
      <w:start w:val="1"/>
      <w:numFmt w:val="decimal"/>
      <w:lvlText w:val="%4."/>
      <w:lvlJc w:val="left"/>
      <w:pPr>
        <w:ind w:left="3164" w:hanging="360"/>
      </w:pPr>
    </w:lvl>
    <w:lvl w:ilvl="4" w:tplc="F2765088">
      <w:start w:val="1"/>
      <w:numFmt w:val="lowerLetter"/>
      <w:lvlText w:val="%5."/>
      <w:lvlJc w:val="left"/>
      <w:pPr>
        <w:ind w:left="3884" w:hanging="360"/>
      </w:pPr>
    </w:lvl>
    <w:lvl w:ilvl="5" w:tplc="06C861A2">
      <w:start w:val="1"/>
      <w:numFmt w:val="lowerRoman"/>
      <w:lvlText w:val="%6."/>
      <w:lvlJc w:val="right"/>
      <w:pPr>
        <w:ind w:left="4604" w:hanging="180"/>
      </w:pPr>
    </w:lvl>
    <w:lvl w:ilvl="6" w:tplc="05EC8BCA">
      <w:start w:val="1"/>
      <w:numFmt w:val="decimal"/>
      <w:lvlText w:val="%7."/>
      <w:lvlJc w:val="left"/>
      <w:pPr>
        <w:ind w:left="5324" w:hanging="360"/>
      </w:pPr>
    </w:lvl>
    <w:lvl w:ilvl="7" w:tplc="4026568E">
      <w:start w:val="1"/>
      <w:numFmt w:val="lowerLetter"/>
      <w:lvlText w:val="%8."/>
      <w:lvlJc w:val="left"/>
      <w:pPr>
        <w:ind w:left="6044" w:hanging="360"/>
      </w:pPr>
    </w:lvl>
    <w:lvl w:ilvl="8" w:tplc="DE70245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F"/>
    <w:rsid w:val="0005334D"/>
    <w:rsid w:val="000837B1"/>
    <w:rsid w:val="000A6D3C"/>
    <w:rsid w:val="000F668A"/>
    <w:rsid w:val="00136503"/>
    <w:rsid w:val="001A3618"/>
    <w:rsid w:val="001B00F9"/>
    <w:rsid w:val="001C5417"/>
    <w:rsid w:val="00211577"/>
    <w:rsid w:val="002176F4"/>
    <w:rsid w:val="00231F59"/>
    <w:rsid w:val="00270D4B"/>
    <w:rsid w:val="0027565D"/>
    <w:rsid w:val="002858F4"/>
    <w:rsid w:val="002A40B5"/>
    <w:rsid w:val="002A4B7D"/>
    <w:rsid w:val="002B1197"/>
    <w:rsid w:val="002F55B0"/>
    <w:rsid w:val="00322BD6"/>
    <w:rsid w:val="003413D9"/>
    <w:rsid w:val="00351374"/>
    <w:rsid w:val="003A341F"/>
    <w:rsid w:val="003D4D94"/>
    <w:rsid w:val="003E5295"/>
    <w:rsid w:val="00453FDF"/>
    <w:rsid w:val="00474ECA"/>
    <w:rsid w:val="004907F0"/>
    <w:rsid w:val="004C0959"/>
    <w:rsid w:val="004D7B86"/>
    <w:rsid w:val="004F0632"/>
    <w:rsid w:val="004F69DD"/>
    <w:rsid w:val="00536848"/>
    <w:rsid w:val="0055579B"/>
    <w:rsid w:val="00574D03"/>
    <w:rsid w:val="00576259"/>
    <w:rsid w:val="00577762"/>
    <w:rsid w:val="005B23C5"/>
    <w:rsid w:val="005D4869"/>
    <w:rsid w:val="005E6301"/>
    <w:rsid w:val="00605B13"/>
    <w:rsid w:val="006149BC"/>
    <w:rsid w:val="0067209D"/>
    <w:rsid w:val="00685A8B"/>
    <w:rsid w:val="00697956"/>
    <w:rsid w:val="00697E79"/>
    <w:rsid w:val="006B3B2E"/>
    <w:rsid w:val="006B44CB"/>
    <w:rsid w:val="00702CEC"/>
    <w:rsid w:val="00746252"/>
    <w:rsid w:val="00766BBC"/>
    <w:rsid w:val="007C5526"/>
    <w:rsid w:val="007E21F9"/>
    <w:rsid w:val="00856BD3"/>
    <w:rsid w:val="008575A6"/>
    <w:rsid w:val="00882CD6"/>
    <w:rsid w:val="00893777"/>
    <w:rsid w:val="008A08DA"/>
    <w:rsid w:val="008A7AD3"/>
    <w:rsid w:val="008B5800"/>
    <w:rsid w:val="008C4A30"/>
    <w:rsid w:val="00932232"/>
    <w:rsid w:val="00950CA3"/>
    <w:rsid w:val="009904E5"/>
    <w:rsid w:val="009A061F"/>
    <w:rsid w:val="009A693A"/>
    <w:rsid w:val="009B2AEF"/>
    <w:rsid w:val="009D7C56"/>
    <w:rsid w:val="009F2360"/>
    <w:rsid w:val="009F2633"/>
    <w:rsid w:val="00A03492"/>
    <w:rsid w:val="00A33F5B"/>
    <w:rsid w:val="00A50666"/>
    <w:rsid w:val="00A80B20"/>
    <w:rsid w:val="00A91E29"/>
    <w:rsid w:val="00AA4476"/>
    <w:rsid w:val="00B030FA"/>
    <w:rsid w:val="00B504DE"/>
    <w:rsid w:val="00B6602D"/>
    <w:rsid w:val="00B921B9"/>
    <w:rsid w:val="00BA7E27"/>
    <w:rsid w:val="00BE461D"/>
    <w:rsid w:val="00C124CB"/>
    <w:rsid w:val="00C14FF5"/>
    <w:rsid w:val="00C27B85"/>
    <w:rsid w:val="00C40AC3"/>
    <w:rsid w:val="00C63C13"/>
    <w:rsid w:val="00C74D9E"/>
    <w:rsid w:val="00C80FA4"/>
    <w:rsid w:val="00C86208"/>
    <w:rsid w:val="00CB3393"/>
    <w:rsid w:val="00CD3F8C"/>
    <w:rsid w:val="00D926F1"/>
    <w:rsid w:val="00E51680"/>
    <w:rsid w:val="00E95213"/>
    <w:rsid w:val="00EB0145"/>
    <w:rsid w:val="00EB79E9"/>
    <w:rsid w:val="00EF28BF"/>
    <w:rsid w:val="00F5099F"/>
    <w:rsid w:val="00F5544A"/>
    <w:rsid w:val="00F72DAF"/>
    <w:rsid w:val="00F81D8D"/>
    <w:rsid w:val="00F8621E"/>
    <w:rsid w:val="00F93C5A"/>
    <w:rsid w:val="00F96186"/>
    <w:rsid w:val="00FA0B7C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9F0"/>
  <w15:chartTrackingRefBased/>
  <w15:docId w15:val="{52A2A844-3B68-485C-9D91-F5698F0C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1B9"/>
    <w:pPr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0632"/>
    <w:pPr>
      <w:keepNext/>
      <w:keepLines/>
      <w:numPr>
        <w:ilvl w:val="1"/>
        <w:numId w:val="3"/>
      </w:numPr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D03"/>
    <w:pPr>
      <w:keepNext/>
      <w:keepLines/>
      <w:numPr>
        <w:ilvl w:val="2"/>
        <w:numId w:val="1"/>
      </w:numPr>
      <w:spacing w:after="0" w:line="360" w:lineRule="auto"/>
      <w:ind w:left="0" w:firstLine="851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574D03"/>
    <w:rPr>
      <w:rFonts w:ascii="Times New Roman" w:eastAsiaTheme="majorEastAsia" w:hAnsi="Times New Roman" w:cstheme="majorBidi"/>
      <w:sz w:val="24"/>
      <w:szCs w:val="24"/>
    </w:rPr>
  </w:style>
  <w:style w:type="table" w:styleId="a3">
    <w:name w:val="Table Grid"/>
    <w:basedOn w:val="a1"/>
    <w:uiPriority w:val="39"/>
    <w:rsid w:val="00A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B20"/>
  </w:style>
  <w:style w:type="paragraph" w:styleId="a6">
    <w:name w:val="footer"/>
    <w:basedOn w:val="a"/>
    <w:link w:val="a7"/>
    <w:uiPriority w:val="99"/>
    <w:unhideWhenUsed/>
    <w:rsid w:val="00A8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B20"/>
  </w:style>
  <w:style w:type="paragraph" w:styleId="a8">
    <w:name w:val="List Paragraph"/>
    <w:basedOn w:val="a"/>
    <w:uiPriority w:val="34"/>
    <w:qFormat/>
    <w:rsid w:val="00697956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C14FF5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921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95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2025-01-09T13:37:00Z</dcterms:created>
  <dcterms:modified xsi:type="dcterms:W3CDTF">2025-02-04T08:12:00Z</dcterms:modified>
</cp:coreProperties>
</file>