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800" w:type="dxa"/>
        <w:gridCol/>
      </w:tblGrid>
      <w:tblPr>
        <w:tblW w:w="5000" w:type="pct"/>
        <w:tblLayout w:type="autofit"/>
        <w:tblBorders>
          <w:bottom w:val="single" w:sz="20"/>
        </w:tblBorders>
      </w:tblPr>
      <w:tr>
        <w:trPr/>
        <w:tc>
          <w:tcPr>
            <w:tcW w:w="5800" w:type="dxa"/>
            <w:vMerge w:val="restart"/>
            <w:noWrap/>
          </w:tcPr>
          <w:p>
            <w:pPr/>
            <w:r>
              <w:pict>
                <v:shape type="#_x0000_t75" stroked="f" style="width:290pt; height:1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  <w:b w:val="1"/>
                <w:bCs w:val="1"/>
              </w:rPr>
              <w:t xml:space="preserve">ООО "ОКГ-НН"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  <w:spacing w:before="94"/>
            </w:pPr>
            <w:r>
              <w:rPr>
                <w:sz w:val="22"/>
                <w:szCs w:val="22"/>
              </w:rPr>
              <w:t xml:space="preserve">ОГРН: 1215200028614 ИНН: 5263147637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Юридический адрес: 603089 г. Н. Новгород,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пер. Полтавский 13, помещение П2, офис 7.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info-mc@okg-nn.ru тел.: +7 951 903-83-28</w:t>
            </w:r>
          </w:p>
        </w:tc>
      </w:tr>
    </w:tbl>
    <w:p>
      <w:pPr/>
      <w:r>
        <w:rPr/>
        <w:t xml:space="preserve"/>
      </w:r>
    </w:p>
    <w:p>
      <w:pPr/>
      <w:r>
        <w:rPr/>
        <w:t xml:space="preserve"/>
      </w:r>
    </w:p>
    <w:p>
      <w:pPr/>
      <w:r>
        <w:rPr/>
        <w:t xml:space="preserve"/>
      </w:r>
    </w:p>
    <w:p>
      <w:pPr>
        <w:jc w:val="center"/>
      </w:pPr>
      <w:r>
        <w:rPr>
          <w:sz w:val="26"/>
          <w:szCs w:val="26"/>
          <w:b w:val="1"/>
          <w:bCs w:val="1"/>
        </w:rPr>
        <w:t xml:space="preserve">ШПИЛЬКА М10X2000 DIN 975</w:t>
      </w:r>
    </w:p>
    <w:p>
      <w:pPr/>
      <w:r>
        <w:rPr/>
        <w:t xml:space="preserve"/>
      </w:r>
    </w:p>
    <w:p>
      <w:pPr/>
      <w:r>
        <w:rPr/>
        <w:t xml:space="preserve"/>
      </w:r>
    </w:p>
    <w:tbl>
      <w:tblGrid>
        <w:gridCol w:w="6200" w:type="dxa"/>
        <w:gridCol w:w="100" w:type="dxa"/>
        <w:gridCol w:w="100" w:type="dxa"/>
      </w:tblGrid>
      <w:tblPr>
        <w:tblW w:w="5000" w:type="pct"/>
        <w:tblLayout w:type="autofit"/>
      </w:tblPr>
      <w:tr>
        <w:trPr/>
        <w:tc>
          <w:tcPr>
            <w:tcW w:w="6200" w:type="dxa"/>
            <w:vMerge w:val="restart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Нормативный документ на продукцию ТУ 25.11.23-001-53629092-2022
    Дата производства: 04.03.2025.
    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Количество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Ед.Изм</w:t>
            </w:r>
          </w:p>
        </w:tc>
      </w:tr>
      <w:tr>
        <w:trPr/>
        <w:tc>
          <w:tcPr>
            <w:tcW w:w="6200" w:type="dxa"/>
            <w:vMerge w:val="continue"/>
            <w:noWrap/>
          </w:tcPr>
          <w:p/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шт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2500" w:type="dxa"/>
        <w:gridCol w:w="2130" w:type="dxa"/>
      </w:tblGrid>
      <w:tblPr>
        <w:tblW w:w="5000" w:type="pct"/>
        <w:tblLayout w:type="autofit"/>
        <w:tblBorders>
          <w:top w:val="single" w:sz="6"/>
          <w:left w:val="single" w:sz="6"/>
          <w:right w:val="single" w:sz="6"/>
          <w:bottom w:val="single" w:sz="6"/>
          <w:insideH w:val="single" w:sz="6"/>
          <w:insideV w:val="single" w:sz="6"/>
        </w:tblBorders>
      </w:tblP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Параметр (наименование показателя), ед.изм.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Норма</w:t>
            </w:r>
          </w:p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ТУ 25.11.23-001-53629092-2022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Факт</w:t>
            </w:r>
          </w:p>
        </w:tc>
      </w:tr>
      <w:tr>
        <w:trPr/>
        <w:tc>
          <w:tcPr>
            <w:tcW w:w="2500" w:type="dxa"/>
            <w:vAlign w:val="center"/>
            <w:vMerge w:val="restart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Внешний вид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 контрольному образцу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vMerge w:val="continue"/>
            <w:noWrap/>
          </w:tcPr>
          <w:p/>
        </w:tc>
        <w:tc>
          <w:tcPr>
            <w:tcW w:w="2500" w:type="dxa"/>
            <w:gridSpan w:val="2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rPr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roked="f" style="width:100pt; height:50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  <w:p>
            <w:pPr>
              <w:jc w:val="center"/>
            </w:pPr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Артикул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Ш102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Вес за единицу измерения (кг)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0.98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Длина (мм)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2000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Резьба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М10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Покрытие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Антикоррозийное покрытие цинком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Класс прочности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5.8-6.0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Угол резьбы (град.)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60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Комплектность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Маркировка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Упаковка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vAlign w:val="center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Свойства и преимущества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left"/>
            </w:pPr>
            <w:r>
              <w:rPr>
                <w:sz w:val="20"/>
                <w:szCs w:val="20"/>
              </w:rPr>
              <w:t xml:space="preserve"> - Метрическая резьба по всей длине шпильки;</w:t>
            </w:r>
          </w:p>
          <w:p>
            <w:pPr>
              <w:jc w:val="left"/>
            </w:pPr>
            <w:r>
              <w:rPr>
                <w:sz w:val="20"/>
                <w:szCs w:val="20"/>
              </w:rPr>
              <w:t xml:space="preserve"> - Для стягивания элементов строительных конструкций, организации процессов и т.д.;</w:t>
            </w:r>
          </w:p>
        </w:tc>
      </w:tr>
      <w:tr>
        <w:trPr/>
        <w:tc>
          <w:tcPr>
            <w:tcW w:w="2500" w:type="dxa"/>
            <w:vAlign w:val="center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Хранение, транспортировка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left"/>
            </w:pPr>
            <w:r>
              <w:rPr>
                <w:sz w:val="20"/>
                <w:szCs w:val="20"/>
              </w:rPr>
              <w:t xml:space="preserve">Хранить в сухих помещениях, защищённых от воздействия агрессивных сред. Транспортировать обеспечив соответствующую защиту от загрязнений и механических повреждений</w:t>
            </w:r>
          </w:p>
        </w:tc>
      </w:tr>
    </w:tbl>
    <w:p>
      <w:pPr/>
      <w:r>
        <w:rPr/>
        <w:t xml:space="preserve"/>
      </w:r>
    </w:p>
    <w:p>
      <w:pPr/>
      <w:r>
        <w:rPr>
          <w:sz w:val="24"/>
          <w:szCs w:val="24"/>
        </w:rPr>
        <w:t xml:space="preserve">Заключение: продукция соответствует требованиям ТУ 25.11.23-001-53629092-2022</w:t>
      </w:r>
    </w:p>
    <w:p>
      <w:pPr/>
      <w:r>
        <w:rPr>
          <w:sz w:val="24"/>
          <w:szCs w:val="24"/>
        </w:rPr>
        <w:t xml:space="preserve">Сертификат соответствия РОСС RU.32001.04ИБФ1.ОСП28.52705</w:t>
      </w:r>
    </w:p>
    <w:p>
      <w:pPr/>
      <w:r>
        <w:rPr/>
        <w:t xml:space="preserve"/>
      </w:r>
    </w:p>
    <w:p>
      <w:pPr/>
      <w:r>
        <w:rPr/>
        <w:t xml:space="preserve"/>
      </w:r>
    </w:p>
    <w:p>
      <w:pPr/>
      <w:r>
        <w:rPr/>
        <w:t xml:space="preserve"/>
      </w:r>
    </w:p>
    <w:tbl>
      <w:tblGrid>
        <w:gridCol w:w="4500" w:type="dxa"/>
        <w:gridCol w:w="200" w:type="dxa"/>
      </w:tblGrid>
      <w:tblPr>
        <w:tblW w:w="5000" w:type="pct"/>
        <w:tblLayout w:type="autofit"/>
      </w:tblPr>
      <w:tr>
        <w:trPr/>
        <w:tc>
          <w:tcPr>
            <w:tcW w:w="4500" w:type="dxa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Генеральный директор</w:t>
            </w:r>
          </w:p>
        </w:tc>
        <w:tc>
          <w:tcPr>
            <w:tcW w:w="200" w:type="dxa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Сучков С.В.</w:t>
            </w:r>
          </w:p>
        </w:tc>
      </w:tr>
    </w:tbl>
    <w:sectPr>
      <w:pgSz w:orient="portrait" w:w="11905.511811023622" w:h="16837.79527559055"/>
      <w:pgMar w:top="720.09" w:right="720.09" w:bottom="720.09" w:left="850.5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  <w:lang w:val="en-US"/>
      </w:rPr>
    </w:rPrDefault>
  </w:docDefaults>
  <w:style w:type="paragraph" w:default="1" w:styleId="Normal">
    <w:name w:val="Normal"/>
    <w:pPr>
      <w:spacing w:before="0"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2025-03-12T16:34:33+03:00</dcterms:created>
  <dcterms:modified xsi:type="dcterms:W3CDTF">2025-03-12T16:34:33+03:00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